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jc w:val="center"/>
        <w:rPr>
          <w:rFonts w:ascii="Verdana" w:hAnsi="Verdana"/>
          <w:sz w:val="16"/>
        </w:rPr>
      </w:pPr>
      <w:r>
        <w:rPr>
          <w:rFonts w:ascii="Verdana" w:hAnsi="Verdana" w:eastAsia="Times New Roman" w:cs="Arial"/>
          <w:b/>
          <w:bCs/>
          <w:sz w:val="16"/>
          <w:szCs w:val="16"/>
          <w:lang w:eastAsia="ru-RU"/>
        </w:rPr>
        <w:t xml:space="preserve">Структура инвестиций в основной капитал </w:t>
        <w:br w:type="textWrapping" w:clear="all"/>
        <w:t xml:space="preserve">в Нижегородской области по </w:t>
      </w:r>
      <w:r>
        <w:rPr>
          <w:rFonts w:ascii="Verdana" w:hAnsi="Verdana" w:eastAsia="Times New Roman" w:cs="Arial"/>
          <w:b/>
          <w:bCs/>
          <w:sz w:val="16"/>
          <w:szCs w:val="16"/>
          <w:lang w:eastAsia="ru-RU"/>
        </w:rPr>
        <w:t xml:space="preserve">вида</w:t>
      </w:r>
      <w:r>
        <w:rPr>
          <w:rFonts w:ascii="Verdana" w:hAnsi="Verdana" w:eastAsia="Times New Roman" w:cs="Arial"/>
          <w:b/>
          <w:bCs/>
          <w:sz w:val="16"/>
          <w:szCs w:val="16"/>
          <w:lang w:eastAsia="ru-RU"/>
        </w:rPr>
        <w:t xml:space="preserve">м основных фондов</w:t>
        <w:br w:type="textWrapping" w:clear="all"/>
        <w:t xml:space="preserve"> в январе-</w:t>
      </w:r>
      <w:r>
        <w:rPr>
          <w:rFonts w:ascii="Verdana" w:hAnsi="Verdana" w:eastAsia="Times New Roman" w:cs="Arial"/>
          <w:b/>
          <w:bCs/>
          <w:sz w:val="16"/>
          <w:szCs w:val="16"/>
          <w:lang w:eastAsia="ru-RU"/>
        </w:rPr>
        <w:t xml:space="preserve">июне 20</w:t>
      </w:r>
      <w:r>
        <w:rPr>
          <w:rFonts w:ascii="Verdana" w:hAnsi="Verdana" w:eastAsia="Times New Roman" w:cs="Arial"/>
          <w:b/>
          <w:bCs/>
          <w:sz w:val="16"/>
          <w:szCs w:val="16"/>
          <w:lang w:eastAsia="ru-RU"/>
        </w:rPr>
        <w:t xml:space="preserve">2</w:t>
      </w:r>
      <w:r>
        <w:rPr>
          <w:rFonts w:ascii="Verdana" w:hAnsi="Verdana" w:eastAsia="Times New Roman" w:cs="Arial"/>
          <w:b/>
          <w:bCs/>
          <w:sz w:val="16"/>
          <w:szCs w:val="16"/>
          <w:lang w:eastAsia="ru-RU"/>
        </w:rPr>
        <w:t xml:space="preserve">4</w:t>
      </w:r>
      <w:r>
        <w:rPr>
          <w:rFonts w:ascii="Verdana" w:hAnsi="Verdana" w:eastAsia="Times New Roman" w:cs="Arial"/>
          <w:b/>
          <w:bCs/>
          <w:sz w:val="16"/>
          <w:szCs w:val="16"/>
          <w:lang w:eastAsia="ru-RU"/>
        </w:rPr>
        <w:t xml:space="preserve"> г.</w:t>
        <w:br w:type="textWrapping" w:clear="all"/>
      </w:r>
      <w:r>
        <w:rPr>
          <w:rFonts w:ascii="Verdana" w:hAnsi="Verdana" w:eastAsia="Times New Roman" w:cs="Arial"/>
          <w:sz w:val="16"/>
          <w:szCs w:val="16"/>
          <w:lang w:eastAsia="ru-RU"/>
        </w:rPr>
        <w:t xml:space="preserve">(без субъектов малого предпринимательства и объема инвестици</w:t>
      </w:r>
      <w:r>
        <w:rPr>
          <w:rFonts w:ascii="Verdana" w:hAnsi="Verdana" w:eastAsia="Times New Roman" w:cs="Arial"/>
          <w:sz w:val="16"/>
          <w:szCs w:val="16"/>
          <w:lang w:eastAsia="ru-RU"/>
        </w:rPr>
        <w:t xml:space="preserve">й</w:t>
      </w:r>
      <w:r>
        <w:rPr>
          <w:rFonts w:ascii="Verdana" w:hAnsi="Verdana" w:eastAsia="Times New Roman" w:cs="Arial"/>
          <w:sz w:val="16"/>
          <w:szCs w:val="16"/>
          <w:lang w:eastAsia="ru-RU"/>
        </w:rPr>
        <w:t xml:space="preserve">, не наблюдаемых прямыми статистическими методами)</w:t>
      </w:r>
      <w:r>
        <w:rPr>
          <w:rFonts w:ascii="Verdana" w:hAnsi="Verdana"/>
          <w:sz w:val="16"/>
        </w:rPr>
      </w:r>
      <w:r>
        <w:rPr>
          <w:rFonts w:ascii="Verdana" w:hAnsi="Verdana"/>
          <w:sz w:val="16"/>
        </w:rPr>
      </w:r>
    </w:p>
    <w:tbl>
      <w:tblPr>
        <w:tblpPr w:horzAnchor="margin" w:tblpXSpec="center" w:vertAnchor="text" w:tblpY="43" w:leftFromText="180" w:topFromText="0" w:rightFromText="180" w:bottomFromText="0"/>
        <w:tblW w:w="7082" w:type="dxa"/>
        <w:tblCellSpacing w:w="2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27"/>
        <w:gridCol w:w="1854"/>
        <w:gridCol w:w="1009"/>
        <w:gridCol w:w="20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shd w:val="clear" w:color="000000" w:fill="99ccff"/>
            <w:tcW w:w="2067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ind w:firstLine="0"/>
              <w:jc w:val="center"/>
              <w:rPr>
                <w:rFonts w:ascii="Verdana" w:hAnsi="Verdana" w:eastAsia="Times New Roman" w:cs="Arial"/>
                <w:b/>
                <w:bCs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b/>
                <w:bCs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Verdana" w:hAnsi="Verdana" w:eastAsia="Times New Roman" w:cs="Arial"/>
                <w:b/>
                <w:bCs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b/>
                <w:bCs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shd w:val="clear" w:color="000000" w:fill="99ccff"/>
            <w:tcW w:w="2823" w:type="dxa"/>
            <w:vAlign w:val="center"/>
            <w:textDirection w:val="lrTb"/>
            <w:noWrap w:val="false"/>
          </w:tcPr>
          <w:p>
            <w:pPr>
              <w:pStyle w:val="892"/>
              <w:ind w:firstLine="0"/>
              <w:jc w:val="center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январь-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июнь 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t xml:space="preserve">4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г.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99ccff"/>
            <w:tcW w:w="2032" w:type="dxa"/>
            <w:vAlign w:val="center"/>
            <w:vMerge w:val="restart"/>
            <w:textDirection w:val="lrTb"/>
            <w:noWrap w:val="false"/>
          </w:tcPr>
          <w:p>
            <w:pPr>
              <w:pStyle w:val="892"/>
              <w:ind w:firstLine="0"/>
              <w:jc w:val="center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Справочно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: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br w:type="textWrapping" w:clear="all"/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январь-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июнь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t xml:space="preserve">3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г.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br w:type="textWrapping" w:clear="all"/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 в % к итогу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2067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ind w:firstLine="0"/>
              <w:rPr>
                <w:rFonts w:ascii="Verdana" w:hAnsi="Verdana" w:eastAsia="Times New Roman" w:cs="Arial"/>
                <w:b/>
                <w:bCs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b/>
                <w:bCs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b/>
                <w:bCs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b/>
                <w:bCs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99ccff"/>
            <w:tcW w:w="1814" w:type="dxa"/>
            <w:vAlign w:val="center"/>
            <w:textDirection w:val="lrTb"/>
            <w:noWrap w:val="false"/>
          </w:tcPr>
          <w:p>
            <w:pPr>
              <w:pStyle w:val="892"/>
              <w:ind w:firstLine="0"/>
              <w:jc w:val="center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млн.рублей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99ccff"/>
            <w:tcW w:w="969" w:type="dxa"/>
            <w:vAlign w:val="center"/>
            <w:textDirection w:val="lrTb"/>
            <w:noWrap w:val="false"/>
          </w:tcPr>
          <w:p>
            <w:pPr>
              <w:pStyle w:val="892"/>
              <w:ind w:firstLine="0"/>
              <w:jc w:val="center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в % к итогу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tcW w:w="2032" w:type="dxa"/>
            <w:vAlign w:val="center"/>
            <w:vMerge w:val="continue"/>
            <w:textDirection w:val="lrTb"/>
            <w:noWrap w:val="false"/>
          </w:tcPr>
          <w:p>
            <w:pPr>
              <w:pStyle w:val="892"/>
              <w:ind w:firstLine="0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shd w:val="clear" w:color="000000" w:fill="ccffff"/>
            <w:tcW w:w="2067" w:type="dxa"/>
            <w:vAlign w:val="center"/>
            <w:textDirection w:val="lrTb"/>
            <w:noWrap w:val="false"/>
          </w:tcPr>
          <w:p>
            <w:pPr>
              <w:pStyle w:val="892"/>
              <w:ind w:firstLine="0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Инвестиции в основной капитал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ccffff"/>
            <w:tcW w:w="1814" w:type="dxa"/>
            <w:vAlign w:val="bottom"/>
            <w:textDirection w:val="lrTb"/>
            <w:noWrap w:val="false"/>
          </w:tcPr>
          <w:p>
            <w:pPr>
              <w:pStyle w:val="892"/>
              <w:ind w:firstLine="0"/>
              <w:jc w:val="right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162890.6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ccffff"/>
            <w:tcW w:w="969" w:type="dxa"/>
            <w:vAlign w:val="bottom"/>
            <w:textDirection w:val="lrTb"/>
            <w:noWrap w:val="false"/>
          </w:tcPr>
          <w:p>
            <w:pPr>
              <w:pStyle w:val="892"/>
              <w:ind w:firstLine="0"/>
              <w:jc w:val="right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100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shd w:val="clear" w:color="000000" w:fill="ccffff"/>
            <w:tcW w:w="2032" w:type="dxa"/>
            <w:vAlign w:val="bottom"/>
            <w:textDirection w:val="lrTb"/>
            <w:noWrap w:val="false"/>
          </w:tcPr>
          <w:p>
            <w:pPr>
              <w:pStyle w:val="892"/>
              <w:ind w:firstLine="0"/>
              <w:jc w:val="right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100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2067" w:type="dxa"/>
            <w:vAlign w:val="center"/>
            <w:textDirection w:val="lrTb"/>
            <w:noWrap w:val="false"/>
          </w:tcPr>
          <w:p>
            <w:pPr>
              <w:pStyle w:val="892"/>
              <w:ind w:firstLine="0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в т.ч.: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tcW w:w="1814" w:type="dxa"/>
            <w:vAlign w:val="bottom"/>
            <w:textDirection w:val="lrTb"/>
            <w:noWrap w:val="false"/>
          </w:tcPr>
          <w:p>
            <w:pPr>
              <w:pStyle w:val="892"/>
              <w:ind w:firstLine="0"/>
              <w:jc w:val="right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tcW w:w="969" w:type="dxa"/>
            <w:vAlign w:val="bottom"/>
            <w:textDirection w:val="lrTb"/>
            <w:noWrap w:val="false"/>
          </w:tcPr>
          <w:p>
            <w:pPr>
              <w:pStyle w:val="892"/>
              <w:ind w:firstLine="0"/>
              <w:jc w:val="center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tcW w:w="2032" w:type="dxa"/>
            <w:vAlign w:val="bottom"/>
            <w:textDirection w:val="lrTb"/>
            <w:noWrap w:val="false"/>
          </w:tcPr>
          <w:p>
            <w:pPr>
              <w:pStyle w:val="892"/>
              <w:ind w:firstLine="0"/>
              <w:jc w:val="right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2067" w:type="dxa"/>
            <w:vAlign w:val="center"/>
            <w:textDirection w:val="lrTb"/>
            <w:noWrap w:val="false"/>
          </w:tcPr>
          <w:p>
            <w:pPr>
              <w:pStyle w:val="892"/>
              <w:ind w:firstLine="0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жилые здания и помещения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tcW w:w="1814" w:type="dxa"/>
            <w:vAlign w:val="bottom"/>
            <w:textDirection w:val="lrTb"/>
            <w:noWrap w:val="false"/>
          </w:tcPr>
          <w:p>
            <w:pPr>
              <w:pStyle w:val="892"/>
              <w:ind w:right="9" w:firstLine="0"/>
              <w:jc w:val="right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5169.8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tcW w:w="969" w:type="dxa"/>
            <w:vAlign w:val="bottom"/>
            <w:textDirection w:val="lrTb"/>
            <w:noWrap w:val="false"/>
          </w:tcPr>
          <w:p>
            <w:pPr>
              <w:pStyle w:val="892"/>
              <w:ind w:firstLine="0"/>
              <w:jc w:val="right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t xml:space="preserve">3.2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tcW w:w="2032" w:type="dxa"/>
            <w:vAlign w:val="bottom"/>
            <w:textDirection w:val="lrTb"/>
            <w:noWrap w:val="false"/>
          </w:tcPr>
          <w:p>
            <w:pPr>
              <w:pStyle w:val="892"/>
              <w:ind w:firstLine="0"/>
              <w:jc w:val="right"/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t xml:space="preserve">6.0</w:t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2067" w:type="dxa"/>
            <w:vAlign w:val="center"/>
            <w:textDirection w:val="lrTb"/>
            <w:noWrap w:val="false"/>
          </w:tcPr>
          <w:p>
            <w:pPr>
              <w:pStyle w:val="892"/>
              <w:ind w:firstLine="0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здания (кроме жилых) и сооружения, расходы на улучшение земель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tcW w:w="1814" w:type="dxa"/>
            <w:vAlign w:val="bottom"/>
            <w:textDirection w:val="lrTb"/>
            <w:noWrap w:val="false"/>
          </w:tcPr>
          <w:p>
            <w:pPr>
              <w:pStyle w:val="892"/>
              <w:ind w:right="9" w:firstLine="20"/>
              <w:jc w:val="right"/>
              <w:rPr>
                <w:rFonts w:ascii="Verdana" w:hAnsi="Verdana" w:cs="Arial"/>
                <w:sz w:val="16"/>
                <w:szCs w:val="16"/>
              </w:rPr>
              <w:framePr w:hSpace="180" w:wrap="around" w:vAnchor="text" w:hAnchor="margin" w:xAlign="center" w:y="43"/>
            </w:pPr>
            <w:r>
              <w:rPr>
                <w:rFonts w:ascii="Verdana" w:hAnsi="Verdana" w:cs="Arial"/>
                <w:sz w:val="16"/>
                <w:szCs w:val="16"/>
              </w:rPr>
              <w:t xml:space="preserve">60563.9</w: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</w:r>
          </w:p>
        </w:tc>
        <w:tc>
          <w:tcPr>
            <w:tcW w:w="969" w:type="dxa"/>
            <w:vAlign w:val="bottom"/>
            <w:textDirection w:val="lrTb"/>
            <w:noWrap w:val="false"/>
          </w:tcPr>
          <w:p>
            <w:pPr>
              <w:pStyle w:val="892"/>
              <w:ind w:firstLine="0"/>
              <w:jc w:val="right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t xml:space="preserve">37.2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tcW w:w="2032" w:type="dxa"/>
            <w:vAlign w:val="bottom"/>
            <w:textDirection w:val="lrTb"/>
            <w:noWrap w:val="false"/>
          </w:tcPr>
          <w:p>
            <w:pPr>
              <w:pStyle w:val="892"/>
              <w:ind w:firstLine="0"/>
              <w:jc w:val="right"/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t xml:space="preserve">49.2</w:t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2067" w:type="dxa"/>
            <w:vAlign w:val="center"/>
            <w:textDirection w:val="lrTb"/>
            <w:noWrap w:val="false"/>
          </w:tcPr>
          <w:p>
            <w:pPr>
              <w:pStyle w:val="892"/>
              <w:ind w:firstLine="0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транспортные средства, маш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ины и оборудование, включая хозяйственный инвентарь, и другие объекты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tcW w:w="1814" w:type="dxa"/>
            <w:vAlign w:val="bottom"/>
            <w:textDirection w:val="lrTb"/>
            <w:noWrap w:val="false"/>
          </w:tcPr>
          <w:p>
            <w:pPr>
              <w:pStyle w:val="892"/>
              <w:jc w:val="right"/>
              <w:rPr>
                <w:rFonts w:ascii="Verdana" w:hAnsi="Verdana" w:cs="Arial"/>
                <w:sz w:val="16"/>
                <w:szCs w:val="16"/>
              </w:rPr>
              <w:framePr w:hSpace="180" w:wrap="around" w:vAnchor="text" w:hAnchor="margin" w:xAlign="center" w:y="43"/>
            </w:pPr>
            <w:r>
              <w:rPr>
                <w:rFonts w:ascii="Verdana" w:hAnsi="Verdana" w:cs="Arial"/>
                <w:sz w:val="16"/>
                <w:szCs w:val="16"/>
              </w:rPr>
              <w:t xml:space="preserve">89635.8</w: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</w:r>
          </w:p>
        </w:tc>
        <w:tc>
          <w:tcPr>
            <w:tcW w:w="969" w:type="dxa"/>
            <w:vAlign w:val="bottom"/>
            <w:textDirection w:val="lrTb"/>
            <w:noWrap w:val="false"/>
          </w:tcPr>
          <w:p>
            <w:pPr>
              <w:pStyle w:val="892"/>
              <w:ind w:firstLine="0"/>
              <w:jc w:val="right"/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55.0</w:t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</w:r>
          </w:p>
        </w:tc>
        <w:tc>
          <w:tcPr>
            <w:tcW w:w="2032" w:type="dxa"/>
            <w:vAlign w:val="bottom"/>
            <w:textDirection w:val="lrTb"/>
            <w:noWrap w:val="false"/>
          </w:tcPr>
          <w:p>
            <w:pPr>
              <w:pStyle w:val="892"/>
              <w:ind w:firstLine="0"/>
              <w:jc w:val="right"/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t xml:space="preserve">41.2</w:t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2067" w:type="dxa"/>
            <w:vAlign w:val="center"/>
            <w:textDirection w:val="lrTb"/>
            <w:noWrap w:val="false"/>
          </w:tcPr>
          <w:p>
            <w:pPr>
              <w:pStyle w:val="892"/>
              <w:ind w:firstLine="0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объекты интеллектуальной собственности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tcW w:w="1814" w:type="dxa"/>
            <w:vAlign w:val="bottom"/>
            <w:textDirection w:val="lrTb"/>
            <w:noWrap w:val="false"/>
          </w:tcPr>
          <w:p>
            <w:pPr>
              <w:pStyle w:val="892"/>
              <w:jc w:val="right"/>
              <w:rPr>
                <w:rFonts w:ascii="Verdana" w:hAnsi="Verdana" w:cs="Arial"/>
                <w:sz w:val="16"/>
                <w:szCs w:val="16"/>
              </w:rPr>
              <w:framePr w:hSpace="180" w:wrap="around" w:vAnchor="text" w:hAnchor="margin" w:xAlign="center" w:y="43"/>
            </w:pPr>
            <w:r>
              <w:rPr>
                <w:rFonts w:ascii="Verdana" w:hAnsi="Verdana" w:cs="Arial"/>
                <w:sz w:val="16"/>
                <w:szCs w:val="16"/>
              </w:rPr>
              <w:t xml:space="preserve">5739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</w:t>
            </w:r>
            <w:r>
              <w:rPr>
                <w:rFonts w:ascii="Verdana" w:hAnsi="Verdana" w:cs="Arial"/>
                <w:sz w:val="16"/>
                <w:szCs w:val="16"/>
              </w:rPr>
              <w:t xml:space="preserve">3</w: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</w:r>
          </w:p>
        </w:tc>
        <w:tc>
          <w:tcPr>
            <w:tcW w:w="969" w:type="dxa"/>
            <w:vAlign w:val="bottom"/>
            <w:textDirection w:val="lrTb"/>
            <w:noWrap w:val="false"/>
          </w:tcPr>
          <w:p>
            <w:pPr>
              <w:pStyle w:val="892"/>
              <w:ind w:firstLine="0"/>
              <w:jc w:val="right"/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t xml:space="preserve">3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.</w:t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t xml:space="preserve">5</w:t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</w:r>
          </w:p>
        </w:tc>
        <w:tc>
          <w:tcPr>
            <w:tcW w:w="2032" w:type="dxa"/>
            <w:vAlign w:val="bottom"/>
            <w:textDirection w:val="lrTb"/>
            <w:noWrap w:val="false"/>
          </w:tcPr>
          <w:p>
            <w:pPr>
              <w:pStyle w:val="892"/>
              <w:ind w:firstLine="0"/>
              <w:jc w:val="right"/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t xml:space="preserve">2</w:t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t xml:space="preserve">.</w:t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t xml:space="preserve">3</w:t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  <w:trHeight w:val="344"/>
        </w:trPr>
        <w:tc>
          <w:tcPr>
            <w:tcW w:w="2067" w:type="dxa"/>
            <w:vAlign w:val="center"/>
            <w:textDirection w:val="lrTb"/>
            <w:noWrap w:val="false"/>
          </w:tcPr>
          <w:p>
            <w:pPr>
              <w:pStyle w:val="892"/>
              <w:ind w:firstLine="0"/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прочие инвестиции</w:t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</w:r>
          </w:p>
        </w:tc>
        <w:tc>
          <w:tcPr>
            <w:tcW w:w="1814" w:type="dxa"/>
            <w:vAlign w:val="bottom"/>
            <w:textDirection w:val="lrTb"/>
            <w:noWrap w:val="false"/>
          </w:tcPr>
          <w:p>
            <w:pPr>
              <w:pStyle w:val="892"/>
              <w:jc w:val="right"/>
              <w:rPr>
                <w:rFonts w:ascii="Verdana" w:hAnsi="Verdana" w:cs="Arial"/>
                <w:sz w:val="16"/>
                <w:szCs w:val="16"/>
              </w:rPr>
              <w:framePr w:hSpace="180" w:wrap="around" w:vAnchor="text" w:hAnchor="margin" w:xAlign="center" w:y="43"/>
            </w:pPr>
            <w:r>
              <w:rPr>
                <w:rFonts w:ascii="Verdana" w:hAnsi="Verdana" w:cs="Arial"/>
                <w:sz w:val="16"/>
                <w:szCs w:val="16"/>
              </w:rPr>
              <w:t xml:space="preserve">1781.8</w: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</w:r>
          </w:p>
        </w:tc>
        <w:tc>
          <w:tcPr>
            <w:tcW w:w="969" w:type="dxa"/>
            <w:vAlign w:val="bottom"/>
            <w:textDirection w:val="lrTb"/>
            <w:noWrap w:val="false"/>
          </w:tcPr>
          <w:p>
            <w:pPr>
              <w:pStyle w:val="892"/>
              <w:ind w:firstLine="0"/>
              <w:jc w:val="right"/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eastAsia="ru-RU"/>
              </w:rPr>
              <w:t xml:space="preserve">1.1</w:t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</w:r>
          </w:p>
        </w:tc>
        <w:tc>
          <w:tcPr>
            <w:tcW w:w="2032" w:type="dxa"/>
            <w:vAlign w:val="bottom"/>
            <w:textDirection w:val="lrTb"/>
            <w:noWrap w:val="false"/>
          </w:tcPr>
          <w:p>
            <w:pPr>
              <w:pStyle w:val="892"/>
              <w:ind w:firstLine="0"/>
              <w:jc w:val="right"/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framePr w:hSpace="180" w:wrap="around" w:vAnchor="text" w:hAnchor="margin" w:xAlign="center" w:y="43"/>
            </w:pP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  <w:t xml:space="preserve">1.3</w:t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 w:cs="Arial"/>
                <w:sz w:val="16"/>
                <w:szCs w:val="16"/>
                <w:lang w:val="en-US" w:eastAsia="ru-RU"/>
              </w:rPr>
            </w:r>
          </w:p>
        </w:tc>
      </w:tr>
    </w:tbl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92"/>
    <w:next w:val="892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92"/>
    <w:next w:val="892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92"/>
    <w:next w:val="892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92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next w:val="892"/>
    <w:link w:val="892"/>
    <w:qFormat/>
    <w:pPr>
      <w:ind w:firstLine="567"/>
    </w:pPr>
    <w:rPr>
      <w:sz w:val="22"/>
      <w:szCs w:val="22"/>
      <w:lang w:val="ru-RU" w:eastAsia="en-US" w:bidi="ar-SA"/>
    </w:rPr>
  </w:style>
  <w:style w:type="character" w:styleId="893">
    <w:name w:val="Основной шрифт абзаца"/>
    <w:next w:val="893"/>
    <w:link w:val="892"/>
    <w:uiPriority w:val="1"/>
    <w:semiHidden/>
    <w:unhideWhenUsed/>
  </w:style>
  <w:style w:type="table" w:styleId="894">
    <w:name w:val="Обычная таблица"/>
    <w:next w:val="894"/>
    <w:link w:val="892"/>
    <w:uiPriority w:val="99"/>
    <w:semiHidden/>
    <w:unhideWhenUsed/>
    <w:qFormat/>
    <w:tblPr/>
  </w:style>
  <w:style w:type="numbering" w:styleId="895">
    <w:name w:val="Нет списка"/>
    <w:next w:val="895"/>
    <w:link w:val="892"/>
    <w:uiPriority w:val="99"/>
    <w:semiHidden/>
    <w:unhideWhenUsed/>
  </w:style>
  <w:style w:type="paragraph" w:styleId="896">
    <w:name w:val="Верхний колонтитул"/>
    <w:basedOn w:val="892"/>
    <w:next w:val="896"/>
    <w:link w:val="89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97">
    <w:name w:val="Верхний колонтитул Знак"/>
    <w:next w:val="897"/>
    <w:link w:val="896"/>
    <w:uiPriority w:val="99"/>
    <w:rPr>
      <w:sz w:val="22"/>
      <w:szCs w:val="22"/>
      <w:lang w:eastAsia="en-US"/>
    </w:rPr>
  </w:style>
  <w:style w:type="paragraph" w:styleId="898">
    <w:name w:val="Нижний колонтитул"/>
    <w:basedOn w:val="892"/>
    <w:next w:val="898"/>
    <w:link w:val="899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99">
    <w:name w:val="Нижний колонтитул Знак"/>
    <w:next w:val="899"/>
    <w:link w:val="898"/>
    <w:uiPriority w:val="99"/>
    <w:rPr>
      <w:sz w:val="22"/>
      <w:szCs w:val="22"/>
      <w:lang w:eastAsia="en-US"/>
    </w:rPr>
  </w:style>
  <w:style w:type="paragraph" w:styleId="900">
    <w:name w:val="Текст выноски"/>
    <w:basedOn w:val="892"/>
    <w:next w:val="900"/>
    <w:link w:val="90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1">
    <w:name w:val="Текст выноски Знак"/>
    <w:next w:val="901"/>
    <w:link w:val="900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44</cp:revision>
  <dcterms:created xsi:type="dcterms:W3CDTF">2020-02-20T13:41:00Z</dcterms:created>
  <dcterms:modified xsi:type="dcterms:W3CDTF">2024-08-01T08:14:05Z</dcterms:modified>
  <cp:version>1048576</cp:version>
</cp:coreProperties>
</file>